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Times New Roman" w:hAnsi="Times New Roman" w:eastAsia="方正仿宋简体"/>
          <w:sz w:val="30"/>
          <w:szCs w:val="30"/>
        </w:rPr>
      </w:pPr>
    </w:p>
    <w:p>
      <w:pPr>
        <w:snapToGrid w:val="0"/>
        <w:spacing w:line="600" w:lineRule="exact"/>
        <w:jc w:val="center"/>
        <w:outlineLvl w:val="0"/>
        <w:rPr>
          <w:rFonts w:ascii="Times New Roman" w:hAnsi="Times New Roman" w:eastAsia="方正大标宋简体"/>
          <w:sz w:val="44"/>
          <w:szCs w:val="44"/>
        </w:rPr>
      </w:pPr>
      <w:r>
        <w:rPr>
          <w:rFonts w:hint="eastAsia" w:ascii="Times New Roman" w:hAnsi="Times New Roman" w:eastAsia="方正大标宋简体"/>
          <w:sz w:val="44"/>
          <w:szCs w:val="44"/>
        </w:rPr>
        <w:t>全国中小企业股份转让系统优先股业务指引</w:t>
      </w:r>
    </w:p>
    <w:p>
      <w:pPr>
        <w:snapToGrid w:val="0"/>
        <w:spacing w:line="600" w:lineRule="exact"/>
        <w:jc w:val="center"/>
        <w:outlineLvl w:val="0"/>
        <w:rPr>
          <w:rFonts w:ascii="Times New Roman" w:hAnsi="Times New Roman" w:eastAsia="方正大标宋简体"/>
          <w:sz w:val="44"/>
          <w:szCs w:val="44"/>
        </w:rPr>
      </w:pPr>
      <w:r>
        <w:rPr>
          <w:rFonts w:hint="eastAsia" w:ascii="Times New Roman" w:hAnsi="Times New Roman" w:eastAsia="方正大标宋简体"/>
          <w:sz w:val="44"/>
          <w:szCs w:val="44"/>
        </w:rPr>
        <w:t>第</w:t>
      </w:r>
      <w:r>
        <w:rPr>
          <w:rFonts w:ascii="Times New Roman" w:hAnsi="Times New Roman" w:eastAsia="方正大标宋简体"/>
          <w:sz w:val="44"/>
          <w:szCs w:val="44"/>
        </w:rPr>
        <w:t>2</w:t>
      </w:r>
      <w:r>
        <w:rPr>
          <w:rFonts w:hint="eastAsia" w:ascii="Times New Roman" w:hAnsi="Times New Roman" w:eastAsia="方正大标宋简体"/>
          <w:sz w:val="44"/>
          <w:szCs w:val="44"/>
        </w:rPr>
        <w:t>号——主办券商推荐工作报告</w:t>
      </w:r>
    </w:p>
    <w:p>
      <w:pPr>
        <w:snapToGrid w:val="0"/>
        <w:spacing w:line="600" w:lineRule="exact"/>
        <w:jc w:val="center"/>
        <w:outlineLvl w:val="0"/>
        <w:rPr>
          <w:rFonts w:ascii="Times New Roman" w:hAnsi="Times New Roman" w:eastAsia="方正大标宋简体"/>
          <w:sz w:val="44"/>
          <w:szCs w:val="44"/>
        </w:rPr>
      </w:pPr>
      <w:r>
        <w:rPr>
          <w:rFonts w:hint="eastAsia" w:ascii="Times New Roman" w:hAnsi="Times New Roman" w:eastAsia="方正大标宋简体"/>
          <w:sz w:val="44"/>
          <w:szCs w:val="44"/>
        </w:rPr>
        <w:t>的内容与格式</w:t>
      </w:r>
    </w:p>
    <w:p>
      <w:pPr>
        <w:snapToGrid w:val="0"/>
        <w:spacing w:line="600" w:lineRule="exact"/>
        <w:jc w:val="center"/>
        <w:outlineLvl w:val="0"/>
        <w:rPr>
          <w:rFonts w:ascii="Times New Roman" w:hAnsi="Times New Roman" w:eastAsia="方正大标宋简体"/>
          <w:sz w:val="44"/>
          <w:szCs w:val="44"/>
        </w:rPr>
      </w:pPr>
    </w:p>
    <w:p>
      <w:pPr>
        <w:tabs>
          <w:tab w:val="left" w:pos="1820"/>
        </w:tabs>
        <w:snapToGrid w:val="0"/>
        <w:spacing w:line="600" w:lineRule="exact"/>
        <w:ind w:firstLine="640" w:firstLineChars="200"/>
        <w:textAlignment w:val="baseline"/>
        <w:rPr>
          <w:rFonts w:ascii="Times New Roman" w:hAnsi="Times New Roman" w:eastAsia="方正大标宋简体"/>
          <w:sz w:val="42"/>
          <w:szCs w:val="42"/>
        </w:rPr>
      </w:pPr>
      <w:r>
        <w:rPr>
          <w:rFonts w:hint="eastAsia" w:ascii="Times New Roman" w:hAnsi="Times New Roman" w:eastAsia="仿宋"/>
          <w:sz w:val="32"/>
          <w:szCs w:val="32"/>
        </w:rPr>
        <w:t>（</w:t>
      </w:r>
      <w:r>
        <w:rPr>
          <w:rFonts w:ascii="Times New Roman" w:hAnsi="Times New Roman" w:eastAsia="楷体"/>
          <w:sz w:val="32"/>
          <w:szCs w:val="32"/>
        </w:rPr>
        <w:t>2015</w:t>
      </w:r>
      <w:r>
        <w:rPr>
          <w:rFonts w:hint="eastAsia" w:ascii="Times New Roman" w:hAnsi="Times New Roman" w:eastAsia="楷体"/>
          <w:sz w:val="32"/>
          <w:szCs w:val="32"/>
        </w:rPr>
        <w:t>年</w:t>
      </w:r>
      <w:r>
        <w:rPr>
          <w:rFonts w:ascii="Times New Roman" w:hAnsi="Times New Roman" w:eastAsia="楷体"/>
          <w:sz w:val="32"/>
          <w:szCs w:val="32"/>
        </w:rPr>
        <w:t>9</w:t>
      </w:r>
      <w:r>
        <w:rPr>
          <w:rFonts w:hint="eastAsia" w:ascii="Times New Roman" w:hAnsi="Times New Roman" w:eastAsia="楷体"/>
          <w:sz w:val="32"/>
          <w:szCs w:val="32"/>
        </w:rPr>
        <w:t>月</w:t>
      </w:r>
      <w:r>
        <w:rPr>
          <w:rFonts w:ascii="Times New Roman" w:hAnsi="Times New Roman" w:eastAsia="仿宋"/>
          <w:kern w:val="0"/>
          <w:sz w:val="32"/>
          <w:szCs w:val="32"/>
        </w:rPr>
        <w:t>2</w:t>
      </w:r>
      <w:r>
        <w:rPr>
          <w:rFonts w:hint="eastAsia" w:ascii="Times New Roman" w:hAnsi="Times New Roman" w:eastAsia="仿宋"/>
          <w:kern w:val="0"/>
          <w:sz w:val="32"/>
          <w:szCs w:val="32"/>
        </w:rPr>
        <w:t>1</w:t>
      </w:r>
      <w:r>
        <w:rPr>
          <w:rFonts w:hint="eastAsia" w:ascii="Times New Roman" w:hAnsi="Times New Roman" w:eastAsia="楷体"/>
          <w:sz w:val="32"/>
          <w:szCs w:val="32"/>
        </w:rPr>
        <w:t>日发布《全国中小企业股份转让系统优先股业务指南第</w:t>
      </w:r>
      <w:r>
        <w:rPr>
          <w:rFonts w:ascii="Times New Roman" w:hAnsi="Times New Roman" w:eastAsia="楷体"/>
          <w:sz w:val="32"/>
          <w:szCs w:val="32"/>
        </w:rPr>
        <w:t>2</w:t>
      </w:r>
      <w:r>
        <w:rPr>
          <w:rFonts w:hint="eastAsia" w:ascii="Times New Roman" w:hAnsi="Times New Roman" w:eastAsia="楷体"/>
          <w:sz w:val="32"/>
          <w:szCs w:val="32"/>
        </w:rPr>
        <w:t>号——主办券商推荐工作报告的内容与格式》，2019年10月18日更名为《全国中小企业股份转让系统优先股业务指引第</w:t>
      </w:r>
      <w:r>
        <w:rPr>
          <w:rFonts w:ascii="Times New Roman" w:hAnsi="Times New Roman" w:eastAsia="楷体"/>
          <w:sz w:val="32"/>
          <w:szCs w:val="32"/>
        </w:rPr>
        <w:t>2</w:t>
      </w:r>
      <w:r>
        <w:rPr>
          <w:rFonts w:hint="eastAsia" w:ascii="Times New Roman" w:hAnsi="Times New Roman" w:eastAsia="楷体"/>
          <w:sz w:val="32"/>
          <w:szCs w:val="32"/>
        </w:rPr>
        <w:t>号——主办券商推荐工作报告的内容与格式》，</w:t>
      </w:r>
      <w:r>
        <w:rPr>
          <w:rFonts w:ascii="Times New Roman" w:hAnsi="Times New Roman" w:eastAsia="楷体"/>
          <w:sz w:val="32"/>
          <w:szCs w:val="32"/>
        </w:rPr>
        <w:t>2023</w:t>
      </w:r>
      <w:r>
        <w:rPr>
          <w:rFonts w:hint="eastAsia" w:ascii="Times New Roman" w:hAnsi="Times New Roman" w:eastAsia="楷体"/>
          <w:sz w:val="32"/>
          <w:szCs w:val="32"/>
        </w:rPr>
        <w:t>年2月17日第一次修订</w:t>
      </w:r>
      <w:r>
        <w:rPr>
          <w:rFonts w:hint="eastAsia" w:ascii="Times New Roman" w:hAnsi="Times New Roman" w:eastAsia="仿宋"/>
          <w:sz w:val="32"/>
          <w:szCs w:val="32"/>
        </w:rPr>
        <w:t>）</w:t>
      </w:r>
    </w:p>
    <w:p>
      <w:pPr>
        <w:snapToGrid w:val="0"/>
        <w:spacing w:before="240" w:after="240" w:line="600" w:lineRule="exact"/>
        <w:jc w:val="center"/>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第一章</w:t>
      </w:r>
      <w:r>
        <w:rPr>
          <w:rFonts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总则</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第一条 </w:t>
      </w:r>
      <w:r>
        <w:rPr>
          <w:rFonts w:ascii="Times New Roman" w:hAnsi="Times New Roman" w:eastAsia="仿宋"/>
          <w:sz w:val="32"/>
          <w:szCs w:val="32"/>
        </w:rPr>
        <w:t>为</w:t>
      </w:r>
      <w:r>
        <w:rPr>
          <w:rFonts w:hint="eastAsia" w:ascii="Times New Roman" w:hAnsi="Times New Roman" w:eastAsia="仿宋"/>
          <w:sz w:val="32"/>
          <w:szCs w:val="32"/>
        </w:rPr>
        <w:t>了</w:t>
      </w:r>
      <w:r>
        <w:rPr>
          <w:rFonts w:ascii="Times New Roman" w:hAnsi="Times New Roman" w:eastAsia="仿宋"/>
          <w:sz w:val="32"/>
          <w:szCs w:val="32"/>
        </w:rPr>
        <w:t>规范全国中小企业股份转让系统（以下简称全国股转系统）主办券商优先股推荐工作报告的编制与披露，根据《全国中小企业股份转让系统优先股业务</w:t>
      </w:r>
      <w:r>
        <w:rPr>
          <w:rFonts w:hint="eastAsia" w:ascii="Times New Roman" w:hAnsi="Times New Roman" w:eastAsia="仿宋"/>
          <w:sz w:val="32"/>
          <w:szCs w:val="32"/>
        </w:rPr>
        <w:t>细则</w:t>
      </w:r>
      <w:r>
        <w:rPr>
          <w:rFonts w:ascii="Times New Roman" w:hAnsi="Times New Roman" w:eastAsia="仿宋"/>
          <w:sz w:val="32"/>
          <w:szCs w:val="32"/>
        </w:rPr>
        <w:t>》（以下简称《业务</w:t>
      </w:r>
      <w:r>
        <w:rPr>
          <w:rFonts w:hint="eastAsia" w:ascii="Times New Roman" w:hAnsi="Times New Roman" w:eastAsia="仿宋"/>
          <w:sz w:val="32"/>
          <w:szCs w:val="32"/>
        </w:rPr>
        <w:t>细则</w:t>
      </w:r>
      <w:r>
        <w:rPr>
          <w:rFonts w:ascii="Times New Roman" w:hAnsi="Times New Roman" w:eastAsia="仿宋"/>
          <w:sz w:val="32"/>
          <w:szCs w:val="32"/>
        </w:rPr>
        <w:t>》）等业务规则，制定本指引。</w:t>
      </w:r>
    </w:p>
    <w:p>
      <w:pPr>
        <w:snapToGrid w:val="0"/>
        <w:spacing w:line="600" w:lineRule="exact"/>
        <w:ind w:firstLine="640" w:firstLineChars="200"/>
        <w:textAlignment w:val="baseline"/>
        <w:rPr>
          <w:rFonts w:ascii="Times New Roman" w:hAnsi="Times New Roman" w:eastAsia="仿宋"/>
          <w:color w:val="000000"/>
          <w:sz w:val="32"/>
          <w:szCs w:val="32"/>
        </w:rPr>
      </w:pPr>
      <w:r>
        <w:rPr>
          <w:rFonts w:ascii="Times New Roman" w:hAnsi="Times New Roman" w:eastAsia="黑体"/>
          <w:sz w:val="32"/>
          <w:szCs w:val="32"/>
        </w:rPr>
        <w:t xml:space="preserve">第二条 </w:t>
      </w:r>
      <w:r>
        <w:rPr>
          <w:rFonts w:ascii="Times New Roman" w:hAnsi="Times New Roman" w:eastAsia="仿宋"/>
          <w:color w:val="000000"/>
          <w:sz w:val="32"/>
          <w:szCs w:val="32"/>
        </w:rPr>
        <w:t>主办券商向</w:t>
      </w:r>
      <w:r>
        <w:rPr>
          <w:rFonts w:ascii="Times New Roman" w:hAnsi="Times New Roman" w:eastAsia="仿宋"/>
          <w:sz w:val="32"/>
          <w:szCs w:val="32"/>
        </w:rPr>
        <w:t>全国股转系统</w:t>
      </w:r>
      <w:r>
        <w:rPr>
          <w:rFonts w:ascii="Times New Roman" w:hAnsi="Times New Roman" w:eastAsia="仿宋"/>
          <w:color w:val="000000"/>
          <w:sz w:val="32"/>
          <w:szCs w:val="32"/>
        </w:rPr>
        <w:t>推荐优先股发行或挂牌的，应当按照本指引的要求编制和披露推荐工作报告。</w:t>
      </w:r>
    </w:p>
    <w:p>
      <w:pPr>
        <w:snapToGrid w:val="0"/>
        <w:spacing w:line="600" w:lineRule="exact"/>
        <w:ind w:firstLine="640" w:firstLineChars="200"/>
        <w:textAlignment w:val="baseline"/>
        <w:rPr>
          <w:rFonts w:ascii="Times New Roman" w:hAnsi="Times New Roman" w:eastAsia="仿宋"/>
          <w:sz w:val="32"/>
          <w:szCs w:val="32"/>
        </w:rPr>
      </w:pPr>
      <w:r>
        <w:rPr>
          <w:rFonts w:ascii="Times New Roman" w:hAnsi="Times New Roman" w:eastAsia="黑体"/>
          <w:sz w:val="32"/>
          <w:szCs w:val="32"/>
        </w:rPr>
        <w:t xml:space="preserve">第三条 </w:t>
      </w:r>
      <w:r>
        <w:rPr>
          <w:rFonts w:ascii="Times New Roman" w:hAnsi="Times New Roman" w:eastAsia="仿宋"/>
          <w:sz w:val="32"/>
          <w:szCs w:val="32"/>
        </w:rPr>
        <w:t>本指引对主办券商推荐工作报告的格式未明确规定的，可参照《</w:t>
      </w:r>
      <w:r>
        <w:rPr>
          <w:rFonts w:hint="eastAsia" w:ascii="Times New Roman" w:hAnsi="Times New Roman" w:eastAsia="仿宋"/>
          <w:sz w:val="32"/>
          <w:szCs w:val="32"/>
        </w:rPr>
        <w:t>非上市公众公司信息披露内容与格式准则第</w:t>
      </w:r>
      <w:r>
        <w:rPr>
          <w:rFonts w:ascii="Times New Roman" w:hAnsi="Times New Roman" w:eastAsia="仿宋"/>
          <w:sz w:val="32"/>
          <w:szCs w:val="32"/>
        </w:rPr>
        <w:t>3</w:t>
      </w:r>
      <w:r>
        <w:rPr>
          <w:rFonts w:hint="eastAsia" w:ascii="Times New Roman" w:hAnsi="Times New Roman" w:eastAsia="仿宋"/>
          <w:sz w:val="32"/>
          <w:szCs w:val="32"/>
        </w:rPr>
        <w:t>号——定向发行说明书和发行情况报告书</w:t>
      </w:r>
      <w:r>
        <w:rPr>
          <w:rFonts w:ascii="Times New Roman" w:hAnsi="Times New Roman" w:eastAsia="仿宋"/>
          <w:sz w:val="32"/>
          <w:szCs w:val="32"/>
        </w:rPr>
        <w:t>》的相关规定。</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第四条 </w:t>
      </w:r>
      <w:r>
        <w:rPr>
          <w:rFonts w:ascii="Times New Roman" w:hAnsi="Times New Roman" w:eastAsia="仿宋"/>
          <w:sz w:val="32"/>
          <w:szCs w:val="32"/>
        </w:rPr>
        <w:t>主办券商出具推荐工作报告，应建立在充分了解发行人经营状况、财务状况和风险因素等相关信息的基础之上，切实履行尽职调查职责，保证报告相关内容的真实、准确、完整及报告结论的客观性。</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第五条 </w:t>
      </w:r>
      <w:r>
        <w:rPr>
          <w:rFonts w:ascii="Times New Roman" w:hAnsi="Times New Roman" w:eastAsia="仿宋"/>
          <w:sz w:val="32"/>
          <w:szCs w:val="32"/>
        </w:rPr>
        <w:t>主办券商应在推荐工作报告中对照本指引及有关规定逐项发表明确的结论性意见，并载明得出每项结论的查证过程及事实依据。</w:t>
      </w:r>
    </w:p>
    <w:p>
      <w:pPr>
        <w:snapToGrid w:val="0"/>
        <w:spacing w:before="240" w:after="240" w:line="600" w:lineRule="exact"/>
        <w:jc w:val="center"/>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第二章  推荐工作报告必备内容</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第六条 </w:t>
      </w:r>
      <w:r>
        <w:rPr>
          <w:rFonts w:ascii="Times New Roman" w:hAnsi="Times New Roman" w:eastAsia="仿宋"/>
          <w:sz w:val="32"/>
          <w:szCs w:val="32"/>
        </w:rPr>
        <w:t>主办券商推荐工作报告应当包括以下内容：</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（一）本次优先股发行是否符合豁免申请注册的条件；</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（二）发行人是否符合《优先股试点管理办法》（以下简称《试点办法》）规定的发行条件；</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（三）发行人是否存在《试点办法》规定的不得发行优先股的情形；</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（四）发行人的财务状况、偿付能力；</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（五）发行人的对外担保情况、未决诉讼或仲裁事项；</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（六）本次发行优先股决策程序的合法合规性；</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（七）本次优先股发行的规模、募集金额、票面股息率或发行价格的合法合规性；</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（八）本次发行优先股具体条款设置的合法合规性；</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（九）本次优先股发行对象的投资者适当性；</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（十）本次发行优先股的风险因素；</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（十一）本次发行优先股对发行人、普通股股东、其他优先股股东（如有）的影响；</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（十二）本次发行涉及公司章程修改的事项；</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（十三）本次发行优先股的会计处理方法，以及相关税费政策和依据；</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（十四）非现金资产认购的相关事项（如有）；</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（十五）主办券商认为需要说明的其他事项。</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第七条 </w:t>
      </w:r>
      <w:r>
        <w:rPr>
          <w:rFonts w:ascii="Times New Roman" w:hAnsi="Times New Roman" w:eastAsia="仿宋"/>
          <w:sz w:val="32"/>
          <w:szCs w:val="32"/>
        </w:rPr>
        <w:t>主办券商应当对本次优先股发行是否符合豁免申请注册的条件发表明确意见。</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第八条 </w:t>
      </w:r>
      <w:r>
        <w:rPr>
          <w:rFonts w:ascii="Times New Roman" w:hAnsi="Times New Roman" w:eastAsia="仿宋"/>
          <w:sz w:val="32"/>
          <w:szCs w:val="32"/>
        </w:rPr>
        <w:t>主办券商应当对发行人是否符合《试点办法》规定的发行条件逐项发表明确意见：</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（一）发行人是否符合合法规范经营的条件。包括但不限于：发行人及其控股股东、实际控制人、董事、监事和高级管理人员最近</w:t>
      </w:r>
      <w:r>
        <w:rPr>
          <w:rFonts w:hint="eastAsia" w:ascii="Times New Roman" w:hAnsi="Times New Roman" w:eastAsia="仿宋"/>
          <w:sz w:val="32"/>
          <w:szCs w:val="32"/>
        </w:rPr>
        <w:t>1</w:t>
      </w:r>
      <w:r>
        <w:rPr>
          <w:rFonts w:ascii="Times New Roman" w:hAnsi="Times New Roman" w:eastAsia="仿宋"/>
          <w:sz w:val="32"/>
          <w:szCs w:val="32"/>
        </w:rPr>
        <w:t>2个月内是否受到刑事处罚，或因重大违法行为受到行政处罚，或受到</w:t>
      </w:r>
      <w:r>
        <w:rPr>
          <w:rFonts w:ascii="Times New Roman" w:hAnsi="Times New Roman" w:eastAsia="仿宋"/>
          <w:color w:val="000000"/>
          <w:sz w:val="32"/>
          <w:szCs w:val="32"/>
        </w:rPr>
        <w:t>全国中小企业股份转让系统有限责任公司（以下简称全国股转公司）</w:t>
      </w:r>
      <w:r>
        <w:rPr>
          <w:rFonts w:ascii="Times New Roman" w:hAnsi="Times New Roman" w:eastAsia="仿宋"/>
          <w:sz w:val="32"/>
          <w:szCs w:val="32"/>
        </w:rPr>
        <w:t>的纪律处分。发行人及其控股股东、实际控制人、董事、监事和高级管理人员是否因涉嫌犯罪正被司法机关立案侦查，或因重大违法行为受到行政机关的立案调查。重大违法行为的标准参照《全国中小企业股份转让系统股票挂牌</w:t>
      </w:r>
      <w:r>
        <w:rPr>
          <w:rFonts w:hint="eastAsia" w:ascii="Times New Roman" w:hAnsi="Times New Roman" w:eastAsia="仿宋"/>
          <w:sz w:val="32"/>
          <w:szCs w:val="32"/>
        </w:rPr>
        <w:t>审核业务规则适用</w:t>
      </w:r>
      <w:r>
        <w:rPr>
          <w:rFonts w:ascii="Times New Roman" w:hAnsi="Times New Roman" w:eastAsia="仿宋"/>
          <w:sz w:val="32"/>
          <w:szCs w:val="32"/>
        </w:rPr>
        <w:t>指引</w:t>
      </w:r>
      <w:r>
        <w:rPr>
          <w:rFonts w:hint="eastAsia" w:ascii="Times New Roman" w:hAnsi="Times New Roman" w:eastAsia="仿宋"/>
          <w:sz w:val="32"/>
          <w:szCs w:val="32"/>
        </w:rPr>
        <w:t>第</w:t>
      </w:r>
      <w:r>
        <w:rPr>
          <w:rFonts w:ascii="Times New Roman" w:hAnsi="Times New Roman" w:eastAsia="仿宋"/>
          <w:sz w:val="32"/>
          <w:szCs w:val="32"/>
        </w:rPr>
        <w:t>1</w:t>
      </w:r>
      <w:r>
        <w:rPr>
          <w:rFonts w:hint="eastAsia" w:ascii="Times New Roman" w:hAnsi="Times New Roman" w:eastAsia="仿宋"/>
          <w:sz w:val="32"/>
          <w:szCs w:val="32"/>
        </w:rPr>
        <w:t>号</w:t>
      </w:r>
      <w:r>
        <w:rPr>
          <w:rFonts w:ascii="Times New Roman" w:hAnsi="Times New Roman" w:eastAsia="仿宋"/>
          <w:sz w:val="32"/>
          <w:szCs w:val="32"/>
        </w:rPr>
        <w:t>》的相关规定；</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发行人是否符合公司治理机制健全的条件。包括但不限于：发行人是否按照《公司法》《非上市公众公司监督管理办法》的规定，建立股东大会、董事会、监事会和高级管理层组成的公司治理架构，是否制定相应的公司治理制度，并有效实施。董事会是否对公司治理的有效性进行讨论、评估</w:t>
      </w:r>
      <w:r>
        <w:rPr>
          <w:rFonts w:hint="eastAsia" w:ascii="Times New Roman" w:hAnsi="Times New Roman" w:eastAsia="仿宋"/>
          <w:sz w:val="32"/>
          <w:szCs w:val="32"/>
        </w:rPr>
        <w:t>；</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发行人是否符合依法履行信息披露义务的条件。包括但不限于：发行人是否按照相关规定，真实、准确、完整、及时、公平地披露了本次优先股发行应当披露的信息。发行人在申请普通股挂牌及挂牌期间是否规范履行了信息披露义务；是否曾因信息披露违规或违法，被全国股转公司依法采取纪律处分、被中国证监会采取监管措施或给予行政处罚。</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第九条 </w:t>
      </w:r>
      <w:r>
        <w:rPr>
          <w:rFonts w:ascii="Times New Roman" w:hAnsi="Times New Roman" w:eastAsia="仿宋"/>
          <w:sz w:val="32"/>
          <w:szCs w:val="32"/>
        </w:rPr>
        <w:t>主办券商应当对发行人是否存在《试点办法》规定的不得发行优先股的情形发表明确意见。</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第十条 </w:t>
      </w:r>
      <w:r>
        <w:rPr>
          <w:rFonts w:ascii="Times New Roman" w:hAnsi="Times New Roman" w:eastAsia="仿宋"/>
          <w:sz w:val="32"/>
          <w:szCs w:val="32"/>
        </w:rPr>
        <w:t>主办券商应根据发行人最近两个完整会计年度的财务报表和审计报告，以及最近一</w:t>
      </w:r>
      <w:bookmarkStart w:id="0" w:name="_GoBack"/>
      <w:bookmarkEnd w:id="0"/>
      <w:r>
        <w:rPr>
          <w:rFonts w:ascii="Times New Roman" w:hAnsi="Times New Roman" w:eastAsia="仿宋"/>
          <w:sz w:val="32"/>
          <w:szCs w:val="32"/>
        </w:rPr>
        <w:t>期（如有）的会计报表，重点分析发行人的盈利能力、偿债能力及现金流等各项财务指标。各项财务指标及相关会计科目有较大变动或异常的，应分析其原因。</w:t>
      </w:r>
    </w:p>
    <w:p>
      <w:pPr>
        <w:tabs>
          <w:tab w:val="left" w:pos="3060"/>
          <w:tab w:val="right" w:pos="8306"/>
        </w:tabs>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第十一条 </w:t>
      </w:r>
      <w:r>
        <w:rPr>
          <w:rFonts w:ascii="Times New Roman" w:hAnsi="Times New Roman" w:eastAsia="仿宋"/>
          <w:sz w:val="32"/>
          <w:szCs w:val="32"/>
        </w:rPr>
        <w:t>主办券商应对发行人是否真实、准确、完整</w:t>
      </w:r>
      <w:r>
        <w:rPr>
          <w:rFonts w:hint="eastAsia" w:ascii="Times New Roman" w:hAnsi="Times New Roman" w:eastAsia="仿宋"/>
          <w:sz w:val="32"/>
          <w:szCs w:val="32"/>
          <w:lang w:eastAsia="zh-CN"/>
        </w:rPr>
        <w:t>地</w:t>
      </w:r>
      <w:r>
        <w:rPr>
          <w:rFonts w:ascii="Times New Roman" w:hAnsi="Times New Roman" w:eastAsia="仿宋"/>
          <w:sz w:val="32"/>
          <w:szCs w:val="32"/>
        </w:rPr>
        <w:t>披露了以下内容发表明确意见</w:t>
      </w:r>
      <w:r>
        <w:rPr>
          <w:rFonts w:hint="eastAsia" w:ascii="Times New Roman" w:hAnsi="Times New Roman" w:eastAsia="仿宋"/>
          <w:sz w:val="32"/>
          <w:szCs w:val="32"/>
        </w:rPr>
        <w:t>：</w:t>
      </w:r>
    </w:p>
    <w:p>
      <w:pPr>
        <w:tabs>
          <w:tab w:val="left" w:pos="3060"/>
          <w:tab w:val="right" w:pos="8306"/>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（一）发行人最近一期末的对外担保情况；</w:t>
      </w:r>
    </w:p>
    <w:p>
      <w:pPr>
        <w:tabs>
          <w:tab w:val="left" w:pos="3060"/>
          <w:tab w:val="right" w:pos="8306"/>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（二）对发行人财务状况、经营成果、声誉、业务活动、未来前景等可能产生较大影响的未决诉讼或仲裁，可能出现的处理结果或已生效法律文书的执行情况。</w:t>
      </w:r>
    </w:p>
    <w:p>
      <w:pPr>
        <w:tabs>
          <w:tab w:val="left" w:pos="3060"/>
          <w:tab w:val="right" w:pos="8306"/>
        </w:tabs>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第十二条 </w:t>
      </w:r>
      <w:r>
        <w:rPr>
          <w:rFonts w:ascii="Times New Roman" w:hAnsi="Times New Roman" w:eastAsia="仿宋"/>
          <w:sz w:val="32"/>
          <w:szCs w:val="32"/>
        </w:rPr>
        <w:t>主办券商应当对本次优先股发行的董事会、股东大会决策程序</w:t>
      </w:r>
      <w:r>
        <w:rPr>
          <w:rFonts w:hint="eastAsia" w:ascii="Times New Roman" w:hAnsi="Times New Roman" w:eastAsia="仿宋"/>
          <w:sz w:val="32"/>
          <w:szCs w:val="32"/>
        </w:rPr>
        <w:t>的</w:t>
      </w:r>
      <w:r>
        <w:rPr>
          <w:rFonts w:ascii="Times New Roman" w:hAnsi="Times New Roman" w:eastAsia="仿宋"/>
          <w:sz w:val="32"/>
          <w:szCs w:val="32"/>
        </w:rPr>
        <w:t>合法合规</w:t>
      </w:r>
      <w:r>
        <w:rPr>
          <w:rFonts w:hint="eastAsia" w:ascii="Times New Roman" w:hAnsi="Times New Roman" w:eastAsia="仿宋"/>
          <w:sz w:val="32"/>
          <w:szCs w:val="32"/>
        </w:rPr>
        <w:t>性</w:t>
      </w:r>
      <w:r>
        <w:rPr>
          <w:rFonts w:ascii="Times New Roman" w:hAnsi="Times New Roman" w:eastAsia="仿宋"/>
          <w:sz w:val="32"/>
          <w:szCs w:val="32"/>
        </w:rPr>
        <w:t>，是否执行了《试点办法》规定的表决权回避、分类表决（如有）等制度发表明确意见。</w:t>
      </w:r>
    </w:p>
    <w:p>
      <w:pPr>
        <w:tabs>
          <w:tab w:val="left" w:pos="3060"/>
          <w:tab w:val="right" w:pos="8306"/>
        </w:tabs>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第十三条 </w:t>
      </w:r>
      <w:r>
        <w:rPr>
          <w:rFonts w:ascii="Times New Roman" w:hAnsi="Times New Roman" w:eastAsia="仿宋"/>
          <w:sz w:val="32"/>
          <w:szCs w:val="32"/>
        </w:rPr>
        <w:t>主办券商应当对本次优先股发行的规模、募集金额、票面股息率或发行价格是否符合《试点办法》的规定发表明确意见。</w:t>
      </w:r>
    </w:p>
    <w:p>
      <w:pPr>
        <w:tabs>
          <w:tab w:val="left" w:pos="3060"/>
          <w:tab w:val="right" w:pos="8306"/>
        </w:tabs>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第十四条 </w:t>
      </w:r>
      <w:r>
        <w:rPr>
          <w:rFonts w:ascii="Times New Roman" w:hAnsi="Times New Roman" w:eastAsia="仿宋"/>
          <w:sz w:val="32"/>
          <w:szCs w:val="32"/>
        </w:rPr>
        <w:t>主办券商应当对本次发行优先股的具体条款设置</w:t>
      </w:r>
      <w:r>
        <w:rPr>
          <w:rFonts w:hint="eastAsia" w:ascii="Times New Roman" w:hAnsi="Times New Roman" w:eastAsia="仿宋"/>
          <w:sz w:val="32"/>
          <w:szCs w:val="32"/>
        </w:rPr>
        <w:t>的</w:t>
      </w:r>
      <w:r>
        <w:rPr>
          <w:rFonts w:ascii="Times New Roman" w:hAnsi="Times New Roman" w:eastAsia="仿宋"/>
          <w:sz w:val="32"/>
          <w:szCs w:val="32"/>
        </w:rPr>
        <w:t>合法合规</w:t>
      </w:r>
      <w:r>
        <w:rPr>
          <w:rFonts w:hint="eastAsia" w:ascii="Times New Roman" w:hAnsi="Times New Roman" w:eastAsia="仿宋"/>
          <w:sz w:val="32"/>
          <w:szCs w:val="32"/>
        </w:rPr>
        <w:t>性</w:t>
      </w:r>
      <w:r>
        <w:rPr>
          <w:rFonts w:ascii="Times New Roman" w:hAnsi="Times New Roman" w:eastAsia="仿宋"/>
          <w:sz w:val="32"/>
          <w:szCs w:val="32"/>
        </w:rPr>
        <w:t>发表明确意见，包括：</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（一）优先股股东参与分配的股息率或其确定方式、股息发放的条件、股息支付方式、股息是否累积、是否参与剩余利润分配等</w:t>
      </w:r>
      <w:r>
        <w:rPr>
          <w:rFonts w:hint="eastAsia" w:ascii="Times New Roman" w:hAnsi="Times New Roman" w:eastAsia="仿宋"/>
          <w:sz w:val="32"/>
          <w:szCs w:val="32"/>
        </w:rPr>
        <w:t>安排</w:t>
      </w:r>
      <w:r>
        <w:rPr>
          <w:rFonts w:ascii="Times New Roman" w:hAnsi="Times New Roman" w:eastAsia="仿宋"/>
          <w:sz w:val="32"/>
          <w:szCs w:val="32"/>
        </w:rPr>
        <w:t>是否符合《试点办法》的规定；</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（二）优先股设置</w:t>
      </w:r>
      <w:r>
        <w:rPr>
          <w:rFonts w:hint="eastAsia" w:ascii="Times New Roman" w:hAnsi="Times New Roman" w:eastAsia="仿宋"/>
          <w:sz w:val="32"/>
          <w:szCs w:val="32"/>
        </w:rPr>
        <w:t>的</w:t>
      </w:r>
      <w:r>
        <w:rPr>
          <w:rFonts w:ascii="Times New Roman" w:hAnsi="Times New Roman" w:eastAsia="仿宋"/>
          <w:sz w:val="32"/>
          <w:szCs w:val="32"/>
        </w:rPr>
        <w:t>赎回、回售、转换为普通股（如有）等特殊条款是否符合《试点办法》的规定；</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（三）优先股股东参与分类表决、优先股股东表决权的限制与恢复等安排是否符合《试点办法》的规定；</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（四）优先股的清偿顺序是否符合《试点办法》的规定。</w:t>
      </w:r>
    </w:p>
    <w:p>
      <w:pPr>
        <w:tabs>
          <w:tab w:val="left" w:pos="3060"/>
          <w:tab w:val="right" w:pos="8306"/>
        </w:tabs>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第十五条 </w:t>
      </w:r>
      <w:r>
        <w:rPr>
          <w:rFonts w:ascii="Times New Roman" w:hAnsi="Times New Roman" w:eastAsia="仿宋"/>
          <w:sz w:val="32"/>
          <w:szCs w:val="32"/>
        </w:rPr>
        <w:t>主办券商应当对优先股发行对象的人数和投资者适当性发表意见，包括但不限于：</w:t>
      </w:r>
    </w:p>
    <w:p>
      <w:pPr>
        <w:tabs>
          <w:tab w:val="left" w:pos="3060"/>
          <w:tab w:val="right" w:pos="8306"/>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（一）优先股的发行对象是否符合《试点办法》规定的投资者人数限制；</w:t>
      </w:r>
    </w:p>
    <w:p>
      <w:pPr>
        <w:tabs>
          <w:tab w:val="left" w:pos="3060"/>
          <w:tab w:val="right" w:pos="8306"/>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（二）优先股的发行对象是否符合《试点办法》规定的投资者适当性的要求；</w:t>
      </w:r>
    </w:p>
    <w:p>
      <w:pPr>
        <w:tabs>
          <w:tab w:val="left" w:pos="3060"/>
          <w:tab w:val="right" w:pos="8306"/>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（三）发行人的董事、高级管理人员及其配偶是否参与认购本公司发行的优先股。</w:t>
      </w:r>
    </w:p>
    <w:p>
      <w:pPr>
        <w:tabs>
          <w:tab w:val="left" w:pos="3060"/>
          <w:tab w:val="right" w:pos="8306"/>
        </w:tabs>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第十六条 </w:t>
      </w:r>
      <w:r>
        <w:rPr>
          <w:rFonts w:ascii="Times New Roman" w:hAnsi="Times New Roman" w:eastAsia="仿宋"/>
          <w:sz w:val="32"/>
          <w:szCs w:val="32"/>
        </w:rPr>
        <w:t>主办券商应当对发行人是否真实、准确、完整</w:t>
      </w:r>
      <w:r>
        <w:rPr>
          <w:rFonts w:hint="eastAsia" w:ascii="Times New Roman" w:hAnsi="Times New Roman" w:eastAsia="仿宋"/>
          <w:sz w:val="32"/>
          <w:szCs w:val="32"/>
          <w:lang w:eastAsia="zh-CN"/>
        </w:rPr>
        <w:t>地</w:t>
      </w:r>
      <w:r>
        <w:rPr>
          <w:rFonts w:ascii="Times New Roman" w:hAnsi="Times New Roman" w:eastAsia="仿宋"/>
          <w:sz w:val="32"/>
          <w:szCs w:val="32"/>
        </w:rPr>
        <w:t>披露了优先股的风险因素发表意见。</w:t>
      </w:r>
    </w:p>
    <w:p>
      <w:pPr>
        <w:tabs>
          <w:tab w:val="left" w:pos="3060"/>
          <w:tab w:val="right" w:pos="8306"/>
        </w:tabs>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第十七条 </w:t>
      </w:r>
      <w:r>
        <w:rPr>
          <w:rFonts w:ascii="Times New Roman" w:hAnsi="Times New Roman" w:eastAsia="仿宋"/>
          <w:sz w:val="32"/>
          <w:szCs w:val="32"/>
        </w:rPr>
        <w:t>主办券商应对发行人是否真实、准确、完整</w:t>
      </w:r>
      <w:r>
        <w:rPr>
          <w:rFonts w:hint="eastAsia" w:ascii="Times New Roman" w:hAnsi="Times New Roman" w:eastAsia="仿宋"/>
          <w:sz w:val="32"/>
          <w:szCs w:val="32"/>
          <w:lang w:eastAsia="zh-CN"/>
        </w:rPr>
        <w:t>地</w:t>
      </w:r>
      <w:r>
        <w:rPr>
          <w:rFonts w:ascii="Times New Roman" w:hAnsi="Times New Roman" w:eastAsia="仿宋"/>
          <w:sz w:val="32"/>
          <w:szCs w:val="32"/>
        </w:rPr>
        <w:t>披露了发行优先股对发行人、普通股股东、其他优先股股东（如有）的影响发表意见。</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第十八条 </w:t>
      </w:r>
      <w:r>
        <w:rPr>
          <w:rFonts w:ascii="Times New Roman" w:hAnsi="Times New Roman" w:eastAsia="仿宋"/>
          <w:sz w:val="32"/>
          <w:szCs w:val="32"/>
        </w:rPr>
        <w:t>本次优先股发行须修改公司章程的，主办券商应当对发行人是否履行了相应的修改程序，公司章程修改内容是否与定向发行优先股说明书和发行情况报告书的相关内容一致发表明确意见。</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第十九条 </w:t>
      </w:r>
      <w:r>
        <w:rPr>
          <w:rFonts w:ascii="Times New Roman" w:hAnsi="Times New Roman" w:eastAsia="仿宋"/>
          <w:sz w:val="32"/>
          <w:szCs w:val="32"/>
        </w:rPr>
        <w:t>主办券商应对本次发行优先股相关会计处理与税费政策的适用是否准确发表明确意见，包括：</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（一）本次发行优先股的会计处理；</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（二）本次发行优先股的股息是否在所得税前列支及其政策依据；</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（三）投资者与本次发行的优先股转让、股息发放、回购等相关的税费、征收依据及缴纳方式。</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第二十条 </w:t>
      </w:r>
      <w:r>
        <w:rPr>
          <w:rFonts w:ascii="Times New Roman" w:hAnsi="Times New Roman" w:eastAsia="仿宋"/>
          <w:sz w:val="32"/>
          <w:szCs w:val="32"/>
        </w:rPr>
        <w:t>发行对象以非现金资产认购优先股的，主办券商应当</w:t>
      </w:r>
      <w:r>
        <w:rPr>
          <w:rFonts w:hint="eastAsia" w:ascii="Times New Roman" w:hAnsi="Times New Roman" w:eastAsia="仿宋"/>
          <w:sz w:val="32"/>
          <w:szCs w:val="32"/>
        </w:rPr>
        <w:t>就所涉及</w:t>
      </w:r>
      <w:r>
        <w:rPr>
          <w:rFonts w:ascii="Times New Roman" w:hAnsi="Times New Roman" w:eastAsia="仿宋"/>
          <w:sz w:val="32"/>
          <w:szCs w:val="32"/>
        </w:rPr>
        <w:t>资产是否权属清晰、定价公允，本次交易</w:t>
      </w:r>
      <w:r>
        <w:rPr>
          <w:rFonts w:hint="eastAsia" w:ascii="Times New Roman" w:hAnsi="Times New Roman" w:eastAsia="仿宋"/>
          <w:sz w:val="32"/>
          <w:szCs w:val="32"/>
        </w:rPr>
        <w:t>是否有利于</w:t>
      </w:r>
      <w:r>
        <w:rPr>
          <w:rFonts w:ascii="Times New Roman" w:hAnsi="Times New Roman" w:eastAsia="仿宋"/>
          <w:sz w:val="32"/>
          <w:szCs w:val="32"/>
        </w:rPr>
        <w:t>提升发行人资产质量和持续经营能力发表意见。</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第二十一条 </w:t>
      </w:r>
      <w:r>
        <w:rPr>
          <w:rFonts w:ascii="Times New Roman" w:hAnsi="Times New Roman" w:eastAsia="仿宋"/>
          <w:sz w:val="32"/>
          <w:szCs w:val="32"/>
        </w:rPr>
        <w:t>若主办券商认为公司尚有未披露或未充分披露且对本次优先股发行有影响的重大信息或事项，可以进行补充披露，并提示该信息或事项对本次优先股发行可能造成的影响。</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第二十二条 </w:t>
      </w:r>
      <w:r>
        <w:rPr>
          <w:rFonts w:ascii="Times New Roman" w:hAnsi="Times New Roman" w:eastAsia="仿宋"/>
          <w:sz w:val="32"/>
          <w:szCs w:val="32"/>
        </w:rPr>
        <w:t>主办券商法定代表人或法定代表人授权的代表、项目负责人应在推荐工作报告上签字，并加盖主办券商公章，注明报告日期。</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主办券商法定代表人授权他人代为签字的，需同时提供授权委托书原件。</w:t>
      </w:r>
    </w:p>
    <w:p>
      <w:pPr>
        <w:snapToGrid w:val="0"/>
        <w:spacing w:before="240" w:after="240" w:line="600" w:lineRule="exact"/>
        <w:jc w:val="center"/>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第三章</w:t>
      </w:r>
      <w:r>
        <w:rPr>
          <w:rFonts w:hint="eastAsia" w:ascii="Times New Roman" w:hAnsi="Times New Roman" w:eastAsia="黑体"/>
          <w:color w:val="000000" w:themeColor="text1"/>
          <w:sz w:val="32"/>
          <w:szCs w:val="32"/>
          <w14:textFill>
            <w14:solidFill>
              <w14:schemeClr w14:val="tx1"/>
            </w14:solidFill>
          </w14:textFill>
        </w:rPr>
        <w:t xml:space="preserve"> </w:t>
      </w:r>
      <w:r>
        <w:rPr>
          <w:rFonts w:ascii="Times New Roman" w:hAnsi="Times New Roman" w:eastAsia="黑体"/>
          <w:color w:val="000000" w:themeColor="text1"/>
          <w:sz w:val="32"/>
          <w:szCs w:val="32"/>
          <w14:textFill>
            <w14:solidFill>
              <w14:schemeClr w14:val="tx1"/>
            </w14:solidFill>
          </w14:textFill>
        </w:rPr>
        <w:t xml:space="preserve"> 附则</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第二十三条 </w:t>
      </w:r>
      <w:r>
        <w:rPr>
          <w:rFonts w:ascii="Times New Roman" w:hAnsi="Times New Roman" w:eastAsia="仿宋"/>
          <w:sz w:val="32"/>
          <w:szCs w:val="32"/>
        </w:rPr>
        <w:t>本指引由全国股转公司负责解释。</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 xml:space="preserve">第二十四条 </w:t>
      </w:r>
      <w:r>
        <w:rPr>
          <w:rFonts w:ascii="Times New Roman" w:hAnsi="Times New Roman" w:eastAsia="仿宋"/>
          <w:sz w:val="32"/>
          <w:szCs w:val="32"/>
        </w:rPr>
        <w:t>本指引自发布之日起</w:t>
      </w:r>
      <w:r>
        <w:rPr>
          <w:rFonts w:hint="eastAsia" w:ascii="Times New Roman" w:hAnsi="Times New Roman" w:eastAsia="仿宋"/>
          <w:sz w:val="32"/>
          <w:szCs w:val="32"/>
        </w:rPr>
        <w:t>施行</w:t>
      </w:r>
      <w:r>
        <w:rPr>
          <w:rFonts w:ascii="Times New Roman" w:hAnsi="Times New Roman" w:eastAsia="仿宋"/>
          <w:sz w:val="32"/>
          <w:szCs w:val="32"/>
        </w:rPr>
        <w:t>。</w:t>
      </w:r>
    </w:p>
    <w:p>
      <w:pPr>
        <w:snapToGrid w:val="0"/>
        <w:spacing w:line="600" w:lineRule="exact"/>
        <w:rPr>
          <w:rFonts w:ascii="Times New Roman" w:hAnsi="Times New Roman" w:eastAsia="方正仿宋简体"/>
          <w:sz w:val="28"/>
          <w:szCs w:val="28"/>
        </w:rPr>
      </w:pP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trackRevisions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1132B"/>
    <w:rsid w:val="000114CC"/>
    <w:rsid w:val="0001279E"/>
    <w:rsid w:val="000140A5"/>
    <w:rsid w:val="00023393"/>
    <w:rsid w:val="00023918"/>
    <w:rsid w:val="000253C4"/>
    <w:rsid w:val="00027677"/>
    <w:rsid w:val="00030254"/>
    <w:rsid w:val="0003177A"/>
    <w:rsid w:val="00031819"/>
    <w:rsid w:val="0003452A"/>
    <w:rsid w:val="00034CB4"/>
    <w:rsid w:val="00034DC5"/>
    <w:rsid w:val="000350FA"/>
    <w:rsid w:val="000406E0"/>
    <w:rsid w:val="00040A29"/>
    <w:rsid w:val="00042AA7"/>
    <w:rsid w:val="000464E4"/>
    <w:rsid w:val="0004678F"/>
    <w:rsid w:val="00046E02"/>
    <w:rsid w:val="000501AA"/>
    <w:rsid w:val="000515D0"/>
    <w:rsid w:val="000530B5"/>
    <w:rsid w:val="00057221"/>
    <w:rsid w:val="00061835"/>
    <w:rsid w:val="00070EF4"/>
    <w:rsid w:val="00073313"/>
    <w:rsid w:val="00075DDE"/>
    <w:rsid w:val="000770D6"/>
    <w:rsid w:val="00077B36"/>
    <w:rsid w:val="00087D53"/>
    <w:rsid w:val="00090A5F"/>
    <w:rsid w:val="000914B4"/>
    <w:rsid w:val="00092880"/>
    <w:rsid w:val="00092F15"/>
    <w:rsid w:val="00093565"/>
    <w:rsid w:val="00093666"/>
    <w:rsid w:val="000979F3"/>
    <w:rsid w:val="000B1D18"/>
    <w:rsid w:val="000B2000"/>
    <w:rsid w:val="000B3F90"/>
    <w:rsid w:val="000B4853"/>
    <w:rsid w:val="000B52DC"/>
    <w:rsid w:val="000B5EAA"/>
    <w:rsid w:val="000C446C"/>
    <w:rsid w:val="000C6818"/>
    <w:rsid w:val="000D7B7F"/>
    <w:rsid w:val="000E6E4C"/>
    <w:rsid w:val="000E700E"/>
    <w:rsid w:val="000E72C9"/>
    <w:rsid w:val="000E72D0"/>
    <w:rsid w:val="000F0DC4"/>
    <w:rsid w:val="000F1B08"/>
    <w:rsid w:val="000F2D51"/>
    <w:rsid w:val="000F315B"/>
    <w:rsid w:val="000F593E"/>
    <w:rsid w:val="00104023"/>
    <w:rsid w:val="0010434B"/>
    <w:rsid w:val="0010613F"/>
    <w:rsid w:val="00110389"/>
    <w:rsid w:val="00111415"/>
    <w:rsid w:val="001136DB"/>
    <w:rsid w:val="00113E16"/>
    <w:rsid w:val="00116D3E"/>
    <w:rsid w:val="00117488"/>
    <w:rsid w:val="0012224F"/>
    <w:rsid w:val="00126771"/>
    <w:rsid w:val="00126F8E"/>
    <w:rsid w:val="00127D44"/>
    <w:rsid w:val="00130AC5"/>
    <w:rsid w:val="00131C2F"/>
    <w:rsid w:val="00131FD5"/>
    <w:rsid w:val="00131FE7"/>
    <w:rsid w:val="001351B4"/>
    <w:rsid w:val="00137C57"/>
    <w:rsid w:val="00140260"/>
    <w:rsid w:val="001421AB"/>
    <w:rsid w:val="00142A8D"/>
    <w:rsid w:val="0014751A"/>
    <w:rsid w:val="00150C13"/>
    <w:rsid w:val="0015190D"/>
    <w:rsid w:val="001525AB"/>
    <w:rsid w:val="00154EFD"/>
    <w:rsid w:val="00155052"/>
    <w:rsid w:val="001559C9"/>
    <w:rsid w:val="0016074F"/>
    <w:rsid w:val="001608C8"/>
    <w:rsid w:val="00160BF3"/>
    <w:rsid w:val="001654F7"/>
    <w:rsid w:val="00165E5A"/>
    <w:rsid w:val="00170F03"/>
    <w:rsid w:val="001732C7"/>
    <w:rsid w:val="00177B39"/>
    <w:rsid w:val="00177DEB"/>
    <w:rsid w:val="0018408C"/>
    <w:rsid w:val="00184F1F"/>
    <w:rsid w:val="001856EA"/>
    <w:rsid w:val="0018614E"/>
    <w:rsid w:val="00186237"/>
    <w:rsid w:val="001868F6"/>
    <w:rsid w:val="0019258E"/>
    <w:rsid w:val="001926CB"/>
    <w:rsid w:val="001931B8"/>
    <w:rsid w:val="001933FB"/>
    <w:rsid w:val="00194F2E"/>
    <w:rsid w:val="00196309"/>
    <w:rsid w:val="001A4206"/>
    <w:rsid w:val="001A5588"/>
    <w:rsid w:val="001B041D"/>
    <w:rsid w:val="001B0CD9"/>
    <w:rsid w:val="001B73AB"/>
    <w:rsid w:val="001B7CCF"/>
    <w:rsid w:val="001C3A53"/>
    <w:rsid w:val="001C3B47"/>
    <w:rsid w:val="001C4F64"/>
    <w:rsid w:val="001C7F38"/>
    <w:rsid w:val="001D11CB"/>
    <w:rsid w:val="001D11E3"/>
    <w:rsid w:val="001D1DB2"/>
    <w:rsid w:val="001D2CDF"/>
    <w:rsid w:val="001E0B46"/>
    <w:rsid w:val="001E0D34"/>
    <w:rsid w:val="001E6EB7"/>
    <w:rsid w:val="001F09A0"/>
    <w:rsid w:val="001F0B06"/>
    <w:rsid w:val="001F1813"/>
    <w:rsid w:val="001F22B9"/>
    <w:rsid w:val="001F2C66"/>
    <w:rsid w:val="001F51FC"/>
    <w:rsid w:val="001F5720"/>
    <w:rsid w:val="00200160"/>
    <w:rsid w:val="00201401"/>
    <w:rsid w:val="00201CDB"/>
    <w:rsid w:val="002024BD"/>
    <w:rsid w:val="00203CC3"/>
    <w:rsid w:val="00203EFD"/>
    <w:rsid w:val="00205457"/>
    <w:rsid w:val="00207C88"/>
    <w:rsid w:val="002124CB"/>
    <w:rsid w:val="00213109"/>
    <w:rsid w:val="0021481E"/>
    <w:rsid w:val="002152AF"/>
    <w:rsid w:val="00215932"/>
    <w:rsid w:val="00215A3B"/>
    <w:rsid w:val="002205CB"/>
    <w:rsid w:val="002223D6"/>
    <w:rsid w:val="002233E0"/>
    <w:rsid w:val="00224B26"/>
    <w:rsid w:val="002333E3"/>
    <w:rsid w:val="00236755"/>
    <w:rsid w:val="00236833"/>
    <w:rsid w:val="002473F6"/>
    <w:rsid w:val="0025096D"/>
    <w:rsid w:val="00251293"/>
    <w:rsid w:val="002536E0"/>
    <w:rsid w:val="00254F5B"/>
    <w:rsid w:val="00255F48"/>
    <w:rsid w:val="002566F5"/>
    <w:rsid w:val="0025678A"/>
    <w:rsid w:val="00256A8B"/>
    <w:rsid w:val="00260853"/>
    <w:rsid w:val="00262696"/>
    <w:rsid w:val="00264360"/>
    <w:rsid w:val="00267C14"/>
    <w:rsid w:val="00271211"/>
    <w:rsid w:val="002730B4"/>
    <w:rsid w:val="002735E0"/>
    <w:rsid w:val="0028118C"/>
    <w:rsid w:val="002832CA"/>
    <w:rsid w:val="00283F11"/>
    <w:rsid w:val="002942FD"/>
    <w:rsid w:val="00296704"/>
    <w:rsid w:val="00297E79"/>
    <w:rsid w:val="002A0CDE"/>
    <w:rsid w:val="002A1318"/>
    <w:rsid w:val="002A5EE4"/>
    <w:rsid w:val="002B12F6"/>
    <w:rsid w:val="002B4533"/>
    <w:rsid w:val="002B4CE7"/>
    <w:rsid w:val="002B531D"/>
    <w:rsid w:val="002B5C1B"/>
    <w:rsid w:val="002B66C4"/>
    <w:rsid w:val="002B69F3"/>
    <w:rsid w:val="002C043C"/>
    <w:rsid w:val="002C0DC9"/>
    <w:rsid w:val="002C1F53"/>
    <w:rsid w:val="002C3192"/>
    <w:rsid w:val="002C4D50"/>
    <w:rsid w:val="002D3F1F"/>
    <w:rsid w:val="002E0200"/>
    <w:rsid w:val="002F1E6E"/>
    <w:rsid w:val="002F3353"/>
    <w:rsid w:val="002F4B2B"/>
    <w:rsid w:val="002F67FE"/>
    <w:rsid w:val="00302137"/>
    <w:rsid w:val="0030322B"/>
    <w:rsid w:val="003041C2"/>
    <w:rsid w:val="00306CA9"/>
    <w:rsid w:val="0031218F"/>
    <w:rsid w:val="00312E97"/>
    <w:rsid w:val="00313721"/>
    <w:rsid w:val="003138A7"/>
    <w:rsid w:val="0032130E"/>
    <w:rsid w:val="00323A6D"/>
    <w:rsid w:val="00326C44"/>
    <w:rsid w:val="00326E84"/>
    <w:rsid w:val="00327855"/>
    <w:rsid w:val="003325EB"/>
    <w:rsid w:val="00333266"/>
    <w:rsid w:val="0033366F"/>
    <w:rsid w:val="00333E25"/>
    <w:rsid w:val="00336460"/>
    <w:rsid w:val="00336C12"/>
    <w:rsid w:val="003375BE"/>
    <w:rsid w:val="00337714"/>
    <w:rsid w:val="00337F9B"/>
    <w:rsid w:val="0034018B"/>
    <w:rsid w:val="003413FE"/>
    <w:rsid w:val="00341617"/>
    <w:rsid w:val="00341D0A"/>
    <w:rsid w:val="0034410B"/>
    <w:rsid w:val="00344237"/>
    <w:rsid w:val="00346C39"/>
    <w:rsid w:val="00350D51"/>
    <w:rsid w:val="00351852"/>
    <w:rsid w:val="003523D3"/>
    <w:rsid w:val="00353031"/>
    <w:rsid w:val="00353B57"/>
    <w:rsid w:val="00356570"/>
    <w:rsid w:val="00362652"/>
    <w:rsid w:val="00365CEC"/>
    <w:rsid w:val="003719E0"/>
    <w:rsid w:val="00373B5F"/>
    <w:rsid w:val="003810B0"/>
    <w:rsid w:val="00383400"/>
    <w:rsid w:val="00385000"/>
    <w:rsid w:val="00391E10"/>
    <w:rsid w:val="003941C0"/>
    <w:rsid w:val="003A0328"/>
    <w:rsid w:val="003A0961"/>
    <w:rsid w:val="003A2E2D"/>
    <w:rsid w:val="003A67C2"/>
    <w:rsid w:val="003A68B6"/>
    <w:rsid w:val="003B0326"/>
    <w:rsid w:val="003B4EDD"/>
    <w:rsid w:val="003B5FCF"/>
    <w:rsid w:val="003B7243"/>
    <w:rsid w:val="003C0078"/>
    <w:rsid w:val="003C0372"/>
    <w:rsid w:val="003C0D0D"/>
    <w:rsid w:val="003C2E72"/>
    <w:rsid w:val="003C4AFF"/>
    <w:rsid w:val="003C64F5"/>
    <w:rsid w:val="003C70C1"/>
    <w:rsid w:val="003D0861"/>
    <w:rsid w:val="003D2796"/>
    <w:rsid w:val="003D3C08"/>
    <w:rsid w:val="003D48CA"/>
    <w:rsid w:val="003D4B63"/>
    <w:rsid w:val="003D71BB"/>
    <w:rsid w:val="003D7933"/>
    <w:rsid w:val="003E215D"/>
    <w:rsid w:val="003E3337"/>
    <w:rsid w:val="003E6343"/>
    <w:rsid w:val="00405C7A"/>
    <w:rsid w:val="004073C0"/>
    <w:rsid w:val="00410467"/>
    <w:rsid w:val="004112D7"/>
    <w:rsid w:val="004155EF"/>
    <w:rsid w:val="00422DFD"/>
    <w:rsid w:val="004248AD"/>
    <w:rsid w:val="00425659"/>
    <w:rsid w:val="004258CD"/>
    <w:rsid w:val="00431C10"/>
    <w:rsid w:val="00441014"/>
    <w:rsid w:val="004412FE"/>
    <w:rsid w:val="00441CF2"/>
    <w:rsid w:val="00447E4C"/>
    <w:rsid w:val="00447EB8"/>
    <w:rsid w:val="0045247A"/>
    <w:rsid w:val="00453ED7"/>
    <w:rsid w:val="00457E95"/>
    <w:rsid w:val="00460DF6"/>
    <w:rsid w:val="004629E8"/>
    <w:rsid w:val="00462D27"/>
    <w:rsid w:val="004636C3"/>
    <w:rsid w:val="00464262"/>
    <w:rsid w:val="004667C6"/>
    <w:rsid w:val="0047156C"/>
    <w:rsid w:val="004720FD"/>
    <w:rsid w:val="00475B2E"/>
    <w:rsid w:val="00475E36"/>
    <w:rsid w:val="00480309"/>
    <w:rsid w:val="00480718"/>
    <w:rsid w:val="004816D5"/>
    <w:rsid w:val="00481C27"/>
    <w:rsid w:val="004907BB"/>
    <w:rsid w:val="00494134"/>
    <w:rsid w:val="00497A41"/>
    <w:rsid w:val="004B16F2"/>
    <w:rsid w:val="004B54A2"/>
    <w:rsid w:val="004B58F2"/>
    <w:rsid w:val="004B6532"/>
    <w:rsid w:val="004B7ECC"/>
    <w:rsid w:val="004C012F"/>
    <w:rsid w:val="004C1CFB"/>
    <w:rsid w:val="004C3960"/>
    <w:rsid w:val="004C3E8D"/>
    <w:rsid w:val="004C4091"/>
    <w:rsid w:val="004C7017"/>
    <w:rsid w:val="004D0513"/>
    <w:rsid w:val="004D4298"/>
    <w:rsid w:val="004E0EFA"/>
    <w:rsid w:val="004E2F19"/>
    <w:rsid w:val="004E6730"/>
    <w:rsid w:val="004F0718"/>
    <w:rsid w:val="004F22C0"/>
    <w:rsid w:val="004F2F2C"/>
    <w:rsid w:val="004F44A2"/>
    <w:rsid w:val="0050023A"/>
    <w:rsid w:val="00502293"/>
    <w:rsid w:val="00504A9C"/>
    <w:rsid w:val="005145C1"/>
    <w:rsid w:val="00516D22"/>
    <w:rsid w:val="0052009E"/>
    <w:rsid w:val="00521894"/>
    <w:rsid w:val="005233D2"/>
    <w:rsid w:val="00523A67"/>
    <w:rsid w:val="00530DC9"/>
    <w:rsid w:val="00533ACC"/>
    <w:rsid w:val="00536258"/>
    <w:rsid w:val="00541D59"/>
    <w:rsid w:val="0054351C"/>
    <w:rsid w:val="0054585A"/>
    <w:rsid w:val="0055358F"/>
    <w:rsid w:val="00556F11"/>
    <w:rsid w:val="005607CD"/>
    <w:rsid w:val="005609C4"/>
    <w:rsid w:val="00567CB8"/>
    <w:rsid w:val="00570CB3"/>
    <w:rsid w:val="00570F99"/>
    <w:rsid w:val="00572286"/>
    <w:rsid w:val="005727F7"/>
    <w:rsid w:val="00574BA1"/>
    <w:rsid w:val="00575CD8"/>
    <w:rsid w:val="00577ABC"/>
    <w:rsid w:val="00581DEA"/>
    <w:rsid w:val="00583A82"/>
    <w:rsid w:val="00586313"/>
    <w:rsid w:val="00590FC5"/>
    <w:rsid w:val="00594182"/>
    <w:rsid w:val="00594416"/>
    <w:rsid w:val="00594610"/>
    <w:rsid w:val="00594CDC"/>
    <w:rsid w:val="0059595B"/>
    <w:rsid w:val="005A16C3"/>
    <w:rsid w:val="005A4BF4"/>
    <w:rsid w:val="005B1BD5"/>
    <w:rsid w:val="005B7677"/>
    <w:rsid w:val="005C235F"/>
    <w:rsid w:val="005C3297"/>
    <w:rsid w:val="005C3D38"/>
    <w:rsid w:val="005C4C02"/>
    <w:rsid w:val="005C7B94"/>
    <w:rsid w:val="005D0783"/>
    <w:rsid w:val="005D14A4"/>
    <w:rsid w:val="005D5157"/>
    <w:rsid w:val="005D5E84"/>
    <w:rsid w:val="005E5FC8"/>
    <w:rsid w:val="005E7889"/>
    <w:rsid w:val="005F65B0"/>
    <w:rsid w:val="006108D0"/>
    <w:rsid w:val="0061216D"/>
    <w:rsid w:val="00612EFA"/>
    <w:rsid w:val="00617D4B"/>
    <w:rsid w:val="00617F1A"/>
    <w:rsid w:val="006238B2"/>
    <w:rsid w:val="0063018A"/>
    <w:rsid w:val="0063103E"/>
    <w:rsid w:val="00634293"/>
    <w:rsid w:val="006372EA"/>
    <w:rsid w:val="006413D2"/>
    <w:rsid w:val="00642348"/>
    <w:rsid w:val="00642FB4"/>
    <w:rsid w:val="00646FD2"/>
    <w:rsid w:val="006508A5"/>
    <w:rsid w:val="006541B9"/>
    <w:rsid w:val="0065557B"/>
    <w:rsid w:val="006569F3"/>
    <w:rsid w:val="006577F3"/>
    <w:rsid w:val="00661591"/>
    <w:rsid w:val="006678A8"/>
    <w:rsid w:val="006716AD"/>
    <w:rsid w:val="006736BE"/>
    <w:rsid w:val="006737D6"/>
    <w:rsid w:val="00677E7F"/>
    <w:rsid w:val="00680308"/>
    <w:rsid w:val="006821AC"/>
    <w:rsid w:val="00686D70"/>
    <w:rsid w:val="00690B4E"/>
    <w:rsid w:val="00695889"/>
    <w:rsid w:val="006A1A60"/>
    <w:rsid w:val="006A4000"/>
    <w:rsid w:val="006A6C9A"/>
    <w:rsid w:val="006A6FE1"/>
    <w:rsid w:val="006B7D6D"/>
    <w:rsid w:val="006C0352"/>
    <w:rsid w:val="006C2998"/>
    <w:rsid w:val="006C310F"/>
    <w:rsid w:val="006C317B"/>
    <w:rsid w:val="006C7D19"/>
    <w:rsid w:val="006D1144"/>
    <w:rsid w:val="006D6786"/>
    <w:rsid w:val="006D6BD1"/>
    <w:rsid w:val="006D76DE"/>
    <w:rsid w:val="006E0452"/>
    <w:rsid w:val="006E15D4"/>
    <w:rsid w:val="006E64AE"/>
    <w:rsid w:val="006F7B98"/>
    <w:rsid w:val="00704DC6"/>
    <w:rsid w:val="00713C6F"/>
    <w:rsid w:val="007141B1"/>
    <w:rsid w:val="00717741"/>
    <w:rsid w:val="00720C37"/>
    <w:rsid w:val="00721DDC"/>
    <w:rsid w:val="00722126"/>
    <w:rsid w:val="00723551"/>
    <w:rsid w:val="007278F1"/>
    <w:rsid w:val="007305A6"/>
    <w:rsid w:val="0073094A"/>
    <w:rsid w:val="00731F38"/>
    <w:rsid w:val="00732954"/>
    <w:rsid w:val="00736F93"/>
    <w:rsid w:val="00737013"/>
    <w:rsid w:val="00737CCC"/>
    <w:rsid w:val="00740DD6"/>
    <w:rsid w:val="00745551"/>
    <w:rsid w:val="0074587C"/>
    <w:rsid w:val="00745C48"/>
    <w:rsid w:val="00745D59"/>
    <w:rsid w:val="00750653"/>
    <w:rsid w:val="007506D8"/>
    <w:rsid w:val="00755883"/>
    <w:rsid w:val="0076034C"/>
    <w:rsid w:val="0076142A"/>
    <w:rsid w:val="0076251E"/>
    <w:rsid w:val="00765B6D"/>
    <w:rsid w:val="007665B5"/>
    <w:rsid w:val="00767AFC"/>
    <w:rsid w:val="00772A50"/>
    <w:rsid w:val="00774792"/>
    <w:rsid w:val="007774B2"/>
    <w:rsid w:val="007810C5"/>
    <w:rsid w:val="00783A24"/>
    <w:rsid w:val="007860BF"/>
    <w:rsid w:val="00787625"/>
    <w:rsid w:val="00787B9B"/>
    <w:rsid w:val="00790165"/>
    <w:rsid w:val="00790292"/>
    <w:rsid w:val="0079388D"/>
    <w:rsid w:val="00795E0F"/>
    <w:rsid w:val="007A12DA"/>
    <w:rsid w:val="007A45EB"/>
    <w:rsid w:val="007A4B06"/>
    <w:rsid w:val="007A5539"/>
    <w:rsid w:val="007A5C77"/>
    <w:rsid w:val="007A63A3"/>
    <w:rsid w:val="007B38C0"/>
    <w:rsid w:val="007B4891"/>
    <w:rsid w:val="007C0F37"/>
    <w:rsid w:val="007C1FE2"/>
    <w:rsid w:val="007C29AF"/>
    <w:rsid w:val="007C2D4E"/>
    <w:rsid w:val="007C3CA2"/>
    <w:rsid w:val="007C52F0"/>
    <w:rsid w:val="007D0836"/>
    <w:rsid w:val="007D0AB3"/>
    <w:rsid w:val="007D3F31"/>
    <w:rsid w:val="007D64B2"/>
    <w:rsid w:val="007D64B8"/>
    <w:rsid w:val="007E344F"/>
    <w:rsid w:val="007E3749"/>
    <w:rsid w:val="007E3DA1"/>
    <w:rsid w:val="007E57E1"/>
    <w:rsid w:val="007E6A98"/>
    <w:rsid w:val="007E767D"/>
    <w:rsid w:val="007F0069"/>
    <w:rsid w:val="007F306F"/>
    <w:rsid w:val="007F467E"/>
    <w:rsid w:val="007F46F5"/>
    <w:rsid w:val="00800A66"/>
    <w:rsid w:val="0080230B"/>
    <w:rsid w:val="008046FA"/>
    <w:rsid w:val="0080612C"/>
    <w:rsid w:val="008065A4"/>
    <w:rsid w:val="008152CC"/>
    <w:rsid w:val="00825CAE"/>
    <w:rsid w:val="00830314"/>
    <w:rsid w:val="00834D8B"/>
    <w:rsid w:val="00835998"/>
    <w:rsid w:val="00836BAD"/>
    <w:rsid w:val="00841DC6"/>
    <w:rsid w:val="00842A70"/>
    <w:rsid w:val="00843B57"/>
    <w:rsid w:val="00850265"/>
    <w:rsid w:val="008516C1"/>
    <w:rsid w:val="00852B07"/>
    <w:rsid w:val="00854B0D"/>
    <w:rsid w:val="008566B7"/>
    <w:rsid w:val="00860654"/>
    <w:rsid w:val="00864DCA"/>
    <w:rsid w:val="00864EE1"/>
    <w:rsid w:val="008654AF"/>
    <w:rsid w:val="00865B27"/>
    <w:rsid w:val="008673CB"/>
    <w:rsid w:val="00870868"/>
    <w:rsid w:val="00871AEB"/>
    <w:rsid w:val="008727F2"/>
    <w:rsid w:val="00872DE7"/>
    <w:rsid w:val="00875140"/>
    <w:rsid w:val="008815F8"/>
    <w:rsid w:val="00881BF1"/>
    <w:rsid w:val="00881CDE"/>
    <w:rsid w:val="00885B5F"/>
    <w:rsid w:val="00885F71"/>
    <w:rsid w:val="00886C8F"/>
    <w:rsid w:val="00893150"/>
    <w:rsid w:val="00893929"/>
    <w:rsid w:val="00896F9A"/>
    <w:rsid w:val="008973DA"/>
    <w:rsid w:val="008A0792"/>
    <w:rsid w:val="008A0BC2"/>
    <w:rsid w:val="008A48B5"/>
    <w:rsid w:val="008A7533"/>
    <w:rsid w:val="008B2857"/>
    <w:rsid w:val="008C314A"/>
    <w:rsid w:val="008C3177"/>
    <w:rsid w:val="008C5972"/>
    <w:rsid w:val="008C643D"/>
    <w:rsid w:val="008C78D2"/>
    <w:rsid w:val="008D02FF"/>
    <w:rsid w:val="008D109E"/>
    <w:rsid w:val="008D243A"/>
    <w:rsid w:val="008D3296"/>
    <w:rsid w:val="008D6A5A"/>
    <w:rsid w:val="008E2016"/>
    <w:rsid w:val="008F2904"/>
    <w:rsid w:val="008F6491"/>
    <w:rsid w:val="008F7A96"/>
    <w:rsid w:val="00910FAB"/>
    <w:rsid w:val="00914F96"/>
    <w:rsid w:val="009158B6"/>
    <w:rsid w:val="00917C4C"/>
    <w:rsid w:val="00920576"/>
    <w:rsid w:val="00920711"/>
    <w:rsid w:val="0092123C"/>
    <w:rsid w:val="00921986"/>
    <w:rsid w:val="009220EE"/>
    <w:rsid w:val="0092461F"/>
    <w:rsid w:val="00924664"/>
    <w:rsid w:val="00925244"/>
    <w:rsid w:val="009356C9"/>
    <w:rsid w:val="00935AE9"/>
    <w:rsid w:val="00936B1C"/>
    <w:rsid w:val="00942416"/>
    <w:rsid w:val="009428CB"/>
    <w:rsid w:val="00947A56"/>
    <w:rsid w:val="00950FDE"/>
    <w:rsid w:val="009526E9"/>
    <w:rsid w:val="00953670"/>
    <w:rsid w:val="00955FFB"/>
    <w:rsid w:val="00960879"/>
    <w:rsid w:val="009624C9"/>
    <w:rsid w:val="009747FB"/>
    <w:rsid w:val="00975561"/>
    <w:rsid w:val="00976507"/>
    <w:rsid w:val="0097736B"/>
    <w:rsid w:val="00980D21"/>
    <w:rsid w:val="00983F9F"/>
    <w:rsid w:val="009939B0"/>
    <w:rsid w:val="009964EB"/>
    <w:rsid w:val="0099784B"/>
    <w:rsid w:val="009A61C3"/>
    <w:rsid w:val="009B15F9"/>
    <w:rsid w:val="009B2D02"/>
    <w:rsid w:val="009B470E"/>
    <w:rsid w:val="009C35E2"/>
    <w:rsid w:val="009C4955"/>
    <w:rsid w:val="009C7AF2"/>
    <w:rsid w:val="009D118D"/>
    <w:rsid w:val="009D16A1"/>
    <w:rsid w:val="009D1701"/>
    <w:rsid w:val="009D6D6F"/>
    <w:rsid w:val="009E109F"/>
    <w:rsid w:val="009E2EEF"/>
    <w:rsid w:val="009E3451"/>
    <w:rsid w:val="009E65FD"/>
    <w:rsid w:val="009F0843"/>
    <w:rsid w:val="009F68D1"/>
    <w:rsid w:val="00A00F12"/>
    <w:rsid w:val="00A0147F"/>
    <w:rsid w:val="00A0639E"/>
    <w:rsid w:val="00A10B71"/>
    <w:rsid w:val="00A115FB"/>
    <w:rsid w:val="00A11E0C"/>
    <w:rsid w:val="00A17BBA"/>
    <w:rsid w:val="00A2109A"/>
    <w:rsid w:val="00A21B31"/>
    <w:rsid w:val="00A221DA"/>
    <w:rsid w:val="00A2464B"/>
    <w:rsid w:val="00A254DD"/>
    <w:rsid w:val="00A302D2"/>
    <w:rsid w:val="00A30B92"/>
    <w:rsid w:val="00A31158"/>
    <w:rsid w:val="00A31C6A"/>
    <w:rsid w:val="00A3678B"/>
    <w:rsid w:val="00A42557"/>
    <w:rsid w:val="00A44897"/>
    <w:rsid w:val="00A45E54"/>
    <w:rsid w:val="00A478DB"/>
    <w:rsid w:val="00A52365"/>
    <w:rsid w:val="00A53357"/>
    <w:rsid w:val="00A53DA2"/>
    <w:rsid w:val="00A5457E"/>
    <w:rsid w:val="00A54947"/>
    <w:rsid w:val="00A577CA"/>
    <w:rsid w:val="00A617CC"/>
    <w:rsid w:val="00A61A04"/>
    <w:rsid w:val="00A63BB6"/>
    <w:rsid w:val="00A67CF6"/>
    <w:rsid w:val="00A71D2A"/>
    <w:rsid w:val="00A7779F"/>
    <w:rsid w:val="00A80D85"/>
    <w:rsid w:val="00A8169B"/>
    <w:rsid w:val="00A81700"/>
    <w:rsid w:val="00A8425D"/>
    <w:rsid w:val="00A954B5"/>
    <w:rsid w:val="00A95C10"/>
    <w:rsid w:val="00AA37F0"/>
    <w:rsid w:val="00AA510C"/>
    <w:rsid w:val="00AA6D90"/>
    <w:rsid w:val="00AB06D8"/>
    <w:rsid w:val="00AB4FB8"/>
    <w:rsid w:val="00AD040F"/>
    <w:rsid w:val="00AD1445"/>
    <w:rsid w:val="00AD197C"/>
    <w:rsid w:val="00AD1C8F"/>
    <w:rsid w:val="00AD6DB9"/>
    <w:rsid w:val="00AE2F43"/>
    <w:rsid w:val="00AE378E"/>
    <w:rsid w:val="00AE4D51"/>
    <w:rsid w:val="00AE5757"/>
    <w:rsid w:val="00AE6AF9"/>
    <w:rsid w:val="00AF4816"/>
    <w:rsid w:val="00AF5201"/>
    <w:rsid w:val="00AF7C33"/>
    <w:rsid w:val="00B008E2"/>
    <w:rsid w:val="00B02891"/>
    <w:rsid w:val="00B02BFF"/>
    <w:rsid w:val="00B03141"/>
    <w:rsid w:val="00B0377F"/>
    <w:rsid w:val="00B07873"/>
    <w:rsid w:val="00B10CE4"/>
    <w:rsid w:val="00B10DF0"/>
    <w:rsid w:val="00B1163A"/>
    <w:rsid w:val="00B126C9"/>
    <w:rsid w:val="00B13A69"/>
    <w:rsid w:val="00B16815"/>
    <w:rsid w:val="00B16E12"/>
    <w:rsid w:val="00B17A5B"/>
    <w:rsid w:val="00B23487"/>
    <w:rsid w:val="00B239C0"/>
    <w:rsid w:val="00B24A64"/>
    <w:rsid w:val="00B26049"/>
    <w:rsid w:val="00B266F0"/>
    <w:rsid w:val="00B26E0E"/>
    <w:rsid w:val="00B334FB"/>
    <w:rsid w:val="00B35299"/>
    <w:rsid w:val="00B3592E"/>
    <w:rsid w:val="00B36458"/>
    <w:rsid w:val="00B3740B"/>
    <w:rsid w:val="00B40E72"/>
    <w:rsid w:val="00B4651C"/>
    <w:rsid w:val="00B46C42"/>
    <w:rsid w:val="00B52FAB"/>
    <w:rsid w:val="00B55678"/>
    <w:rsid w:val="00B658B2"/>
    <w:rsid w:val="00B6752B"/>
    <w:rsid w:val="00B67D2A"/>
    <w:rsid w:val="00B7401B"/>
    <w:rsid w:val="00B807A7"/>
    <w:rsid w:val="00B84629"/>
    <w:rsid w:val="00B91A8B"/>
    <w:rsid w:val="00B95A64"/>
    <w:rsid w:val="00BA0181"/>
    <w:rsid w:val="00BA0A6E"/>
    <w:rsid w:val="00BA2B8F"/>
    <w:rsid w:val="00BA31CF"/>
    <w:rsid w:val="00BA39DA"/>
    <w:rsid w:val="00BA41FB"/>
    <w:rsid w:val="00BA6B7D"/>
    <w:rsid w:val="00BB35D3"/>
    <w:rsid w:val="00BB385F"/>
    <w:rsid w:val="00BB5514"/>
    <w:rsid w:val="00BD02EF"/>
    <w:rsid w:val="00BD1ACA"/>
    <w:rsid w:val="00BD2A70"/>
    <w:rsid w:val="00BD2CAE"/>
    <w:rsid w:val="00BD5C94"/>
    <w:rsid w:val="00BD63C1"/>
    <w:rsid w:val="00BD7A96"/>
    <w:rsid w:val="00BE1A7B"/>
    <w:rsid w:val="00BE5684"/>
    <w:rsid w:val="00BF1C5A"/>
    <w:rsid w:val="00BF6168"/>
    <w:rsid w:val="00BF63A0"/>
    <w:rsid w:val="00C00AD0"/>
    <w:rsid w:val="00C0325F"/>
    <w:rsid w:val="00C060B1"/>
    <w:rsid w:val="00C07BE2"/>
    <w:rsid w:val="00C107D3"/>
    <w:rsid w:val="00C112E3"/>
    <w:rsid w:val="00C12252"/>
    <w:rsid w:val="00C13B57"/>
    <w:rsid w:val="00C155F2"/>
    <w:rsid w:val="00C2081D"/>
    <w:rsid w:val="00C23F7A"/>
    <w:rsid w:val="00C241AB"/>
    <w:rsid w:val="00C3079D"/>
    <w:rsid w:val="00C314CD"/>
    <w:rsid w:val="00C36930"/>
    <w:rsid w:val="00C36E96"/>
    <w:rsid w:val="00C4120A"/>
    <w:rsid w:val="00C473FD"/>
    <w:rsid w:val="00C47F38"/>
    <w:rsid w:val="00C508E8"/>
    <w:rsid w:val="00C51537"/>
    <w:rsid w:val="00C52BCB"/>
    <w:rsid w:val="00C55A78"/>
    <w:rsid w:val="00C5671A"/>
    <w:rsid w:val="00C569E6"/>
    <w:rsid w:val="00C638EA"/>
    <w:rsid w:val="00C66427"/>
    <w:rsid w:val="00C70B25"/>
    <w:rsid w:val="00C70E2E"/>
    <w:rsid w:val="00C72022"/>
    <w:rsid w:val="00C734BA"/>
    <w:rsid w:val="00C7469D"/>
    <w:rsid w:val="00C7674C"/>
    <w:rsid w:val="00C81251"/>
    <w:rsid w:val="00C83FCB"/>
    <w:rsid w:val="00C84639"/>
    <w:rsid w:val="00C84CC6"/>
    <w:rsid w:val="00C85723"/>
    <w:rsid w:val="00C90B3D"/>
    <w:rsid w:val="00CA6562"/>
    <w:rsid w:val="00CA73A3"/>
    <w:rsid w:val="00CB2104"/>
    <w:rsid w:val="00CB29C3"/>
    <w:rsid w:val="00CB2C39"/>
    <w:rsid w:val="00CB779E"/>
    <w:rsid w:val="00CC66AC"/>
    <w:rsid w:val="00CD060D"/>
    <w:rsid w:val="00CD2057"/>
    <w:rsid w:val="00CD3B61"/>
    <w:rsid w:val="00CD49B7"/>
    <w:rsid w:val="00CF23F7"/>
    <w:rsid w:val="00CF5143"/>
    <w:rsid w:val="00CF6FBB"/>
    <w:rsid w:val="00D0533D"/>
    <w:rsid w:val="00D0567E"/>
    <w:rsid w:val="00D062B7"/>
    <w:rsid w:val="00D0685A"/>
    <w:rsid w:val="00D10DE3"/>
    <w:rsid w:val="00D11CD9"/>
    <w:rsid w:val="00D12E51"/>
    <w:rsid w:val="00D1489C"/>
    <w:rsid w:val="00D151DF"/>
    <w:rsid w:val="00D2264F"/>
    <w:rsid w:val="00D3032B"/>
    <w:rsid w:val="00D30781"/>
    <w:rsid w:val="00D30D5C"/>
    <w:rsid w:val="00D323DB"/>
    <w:rsid w:val="00D40370"/>
    <w:rsid w:val="00D40456"/>
    <w:rsid w:val="00D42AA2"/>
    <w:rsid w:val="00D4327E"/>
    <w:rsid w:val="00D44642"/>
    <w:rsid w:val="00D45BB0"/>
    <w:rsid w:val="00D54E59"/>
    <w:rsid w:val="00D5747C"/>
    <w:rsid w:val="00D63B60"/>
    <w:rsid w:val="00D65F3D"/>
    <w:rsid w:val="00D72982"/>
    <w:rsid w:val="00D77169"/>
    <w:rsid w:val="00D82381"/>
    <w:rsid w:val="00D861D2"/>
    <w:rsid w:val="00D91A18"/>
    <w:rsid w:val="00D93802"/>
    <w:rsid w:val="00D939F4"/>
    <w:rsid w:val="00D950F4"/>
    <w:rsid w:val="00D97FC6"/>
    <w:rsid w:val="00DA7FAE"/>
    <w:rsid w:val="00DB0B64"/>
    <w:rsid w:val="00DB4FAC"/>
    <w:rsid w:val="00DB538D"/>
    <w:rsid w:val="00DB5FCC"/>
    <w:rsid w:val="00DC5B69"/>
    <w:rsid w:val="00DC5BA4"/>
    <w:rsid w:val="00DC5C5C"/>
    <w:rsid w:val="00DC6B41"/>
    <w:rsid w:val="00DC75AD"/>
    <w:rsid w:val="00DD1682"/>
    <w:rsid w:val="00DD26E8"/>
    <w:rsid w:val="00DD3606"/>
    <w:rsid w:val="00DD5E1F"/>
    <w:rsid w:val="00DD7D54"/>
    <w:rsid w:val="00DE29BF"/>
    <w:rsid w:val="00DE3662"/>
    <w:rsid w:val="00DE3C5D"/>
    <w:rsid w:val="00DE3F58"/>
    <w:rsid w:val="00DE56E6"/>
    <w:rsid w:val="00DF2216"/>
    <w:rsid w:val="00DF42AF"/>
    <w:rsid w:val="00E01110"/>
    <w:rsid w:val="00E021CC"/>
    <w:rsid w:val="00E0390F"/>
    <w:rsid w:val="00E052D2"/>
    <w:rsid w:val="00E11D28"/>
    <w:rsid w:val="00E12192"/>
    <w:rsid w:val="00E154E8"/>
    <w:rsid w:val="00E15745"/>
    <w:rsid w:val="00E218AB"/>
    <w:rsid w:val="00E21C26"/>
    <w:rsid w:val="00E21C73"/>
    <w:rsid w:val="00E2234E"/>
    <w:rsid w:val="00E22954"/>
    <w:rsid w:val="00E25FD5"/>
    <w:rsid w:val="00E2640B"/>
    <w:rsid w:val="00E31176"/>
    <w:rsid w:val="00E32AA0"/>
    <w:rsid w:val="00E33900"/>
    <w:rsid w:val="00E3637F"/>
    <w:rsid w:val="00E40F19"/>
    <w:rsid w:val="00E42528"/>
    <w:rsid w:val="00E4269F"/>
    <w:rsid w:val="00E42B7D"/>
    <w:rsid w:val="00E44656"/>
    <w:rsid w:val="00E4794C"/>
    <w:rsid w:val="00E528D3"/>
    <w:rsid w:val="00E538E2"/>
    <w:rsid w:val="00E57502"/>
    <w:rsid w:val="00E62E8C"/>
    <w:rsid w:val="00E632CD"/>
    <w:rsid w:val="00E66532"/>
    <w:rsid w:val="00E66A1D"/>
    <w:rsid w:val="00E67D46"/>
    <w:rsid w:val="00E710AA"/>
    <w:rsid w:val="00E72FBC"/>
    <w:rsid w:val="00E77B69"/>
    <w:rsid w:val="00E77D4D"/>
    <w:rsid w:val="00E804E6"/>
    <w:rsid w:val="00E80512"/>
    <w:rsid w:val="00E81D6B"/>
    <w:rsid w:val="00E82EEA"/>
    <w:rsid w:val="00E84390"/>
    <w:rsid w:val="00E850CF"/>
    <w:rsid w:val="00E85776"/>
    <w:rsid w:val="00E863AC"/>
    <w:rsid w:val="00E873AA"/>
    <w:rsid w:val="00E90F4C"/>
    <w:rsid w:val="00E92DFC"/>
    <w:rsid w:val="00E93346"/>
    <w:rsid w:val="00E96231"/>
    <w:rsid w:val="00E97792"/>
    <w:rsid w:val="00EA3178"/>
    <w:rsid w:val="00EB2666"/>
    <w:rsid w:val="00EB2F80"/>
    <w:rsid w:val="00EB3A63"/>
    <w:rsid w:val="00EB6728"/>
    <w:rsid w:val="00EC3756"/>
    <w:rsid w:val="00EC5E22"/>
    <w:rsid w:val="00EC6D2E"/>
    <w:rsid w:val="00ED1939"/>
    <w:rsid w:val="00ED5AC7"/>
    <w:rsid w:val="00ED6C71"/>
    <w:rsid w:val="00ED6EBB"/>
    <w:rsid w:val="00ED7353"/>
    <w:rsid w:val="00EE079A"/>
    <w:rsid w:val="00EE3B19"/>
    <w:rsid w:val="00EE7018"/>
    <w:rsid w:val="00EF1037"/>
    <w:rsid w:val="00EF39D3"/>
    <w:rsid w:val="00F00CC6"/>
    <w:rsid w:val="00F02A94"/>
    <w:rsid w:val="00F0380F"/>
    <w:rsid w:val="00F1055D"/>
    <w:rsid w:val="00F1511C"/>
    <w:rsid w:val="00F16C00"/>
    <w:rsid w:val="00F16CDB"/>
    <w:rsid w:val="00F22037"/>
    <w:rsid w:val="00F22723"/>
    <w:rsid w:val="00F2386D"/>
    <w:rsid w:val="00F250DC"/>
    <w:rsid w:val="00F26019"/>
    <w:rsid w:val="00F3088C"/>
    <w:rsid w:val="00F30A9B"/>
    <w:rsid w:val="00F3324F"/>
    <w:rsid w:val="00F35261"/>
    <w:rsid w:val="00F419E4"/>
    <w:rsid w:val="00F41D1B"/>
    <w:rsid w:val="00F44BC4"/>
    <w:rsid w:val="00F463E6"/>
    <w:rsid w:val="00F51B82"/>
    <w:rsid w:val="00F55AD3"/>
    <w:rsid w:val="00F56CE7"/>
    <w:rsid w:val="00F60524"/>
    <w:rsid w:val="00F60966"/>
    <w:rsid w:val="00F626D1"/>
    <w:rsid w:val="00F6453E"/>
    <w:rsid w:val="00F64CD6"/>
    <w:rsid w:val="00F65A21"/>
    <w:rsid w:val="00F71A7E"/>
    <w:rsid w:val="00F728CD"/>
    <w:rsid w:val="00F72A4B"/>
    <w:rsid w:val="00F85D0F"/>
    <w:rsid w:val="00F864FE"/>
    <w:rsid w:val="00F878AF"/>
    <w:rsid w:val="00F93798"/>
    <w:rsid w:val="00F950BF"/>
    <w:rsid w:val="00F96369"/>
    <w:rsid w:val="00F979D5"/>
    <w:rsid w:val="00FA0AC6"/>
    <w:rsid w:val="00FA35A4"/>
    <w:rsid w:val="00FA5ADF"/>
    <w:rsid w:val="00FB3248"/>
    <w:rsid w:val="00FE028E"/>
    <w:rsid w:val="00FE2ABC"/>
    <w:rsid w:val="00FE6246"/>
    <w:rsid w:val="00FE7164"/>
    <w:rsid w:val="00FF0DAD"/>
    <w:rsid w:val="2FAFF2EE"/>
    <w:rsid w:val="2FFB87CE"/>
    <w:rsid w:val="36BFE161"/>
    <w:rsid w:val="37B376F8"/>
    <w:rsid w:val="37B6D06A"/>
    <w:rsid w:val="3FFFE685"/>
    <w:rsid w:val="46B73A6E"/>
    <w:rsid w:val="4B7E12B1"/>
    <w:rsid w:val="51DC382C"/>
    <w:rsid w:val="5DFC304B"/>
    <w:rsid w:val="5EB59C79"/>
    <w:rsid w:val="5FDF8986"/>
    <w:rsid w:val="67BF6507"/>
    <w:rsid w:val="74FF746F"/>
    <w:rsid w:val="75BFEC4D"/>
    <w:rsid w:val="7AAB019D"/>
    <w:rsid w:val="7BDF9A36"/>
    <w:rsid w:val="7BF36EF8"/>
    <w:rsid w:val="7EA32EC4"/>
    <w:rsid w:val="7EEE953B"/>
    <w:rsid w:val="7FF345CD"/>
    <w:rsid w:val="8F7FE472"/>
    <w:rsid w:val="AE5D4729"/>
    <w:rsid w:val="BB24B92B"/>
    <w:rsid w:val="BEF59B37"/>
    <w:rsid w:val="D7A9D5D4"/>
    <w:rsid w:val="D9FFBC92"/>
    <w:rsid w:val="DB7F4A8D"/>
    <w:rsid w:val="DF7F6701"/>
    <w:rsid w:val="DFF347BA"/>
    <w:rsid w:val="DFF3701E"/>
    <w:rsid w:val="DFFFE4E6"/>
    <w:rsid w:val="E7FF12FC"/>
    <w:rsid w:val="EF15AE77"/>
    <w:rsid w:val="EF6DC84A"/>
    <w:rsid w:val="EFDA5D97"/>
    <w:rsid w:val="F5FF2D35"/>
    <w:rsid w:val="F66F2688"/>
    <w:rsid w:val="F7B716BE"/>
    <w:rsid w:val="FFDFE3C5"/>
    <w:rsid w:val="FFEFC602"/>
    <w:rsid w:val="FFFE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unhideWhenUsed/>
    <w:qFormat/>
    <w:uiPriority w:val="99"/>
    <w:rPr>
      <w:color w:val="0563C1"/>
      <w:u w:val="single"/>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6"/>
    <w:qFormat/>
    <w:uiPriority w:val="99"/>
    <w:rPr>
      <w:rFonts w:ascii="Calibri" w:hAnsi="Calibri" w:eastAsia="宋体" w:cs="Times New Roman"/>
      <w:sz w:val="18"/>
      <w:szCs w:val="18"/>
    </w:rPr>
  </w:style>
  <w:style w:type="character" w:customStyle="1" w:styleId="13">
    <w:name w:val="页脚 Char"/>
    <w:basedOn w:val="9"/>
    <w:link w:val="5"/>
    <w:qFormat/>
    <w:uiPriority w:val="99"/>
    <w:rPr>
      <w:rFonts w:ascii="Calibri" w:hAnsi="Calibri" w:eastAsia="宋体" w:cs="Times New Roman"/>
      <w:sz w:val="18"/>
      <w:szCs w:val="18"/>
    </w:rPr>
  </w:style>
  <w:style w:type="character" w:customStyle="1" w:styleId="14">
    <w:name w:val="日期 Char"/>
    <w:basedOn w:val="9"/>
    <w:link w:val="3"/>
    <w:semiHidden/>
    <w:qFormat/>
    <w:uiPriority w:val="99"/>
    <w:rPr>
      <w:rFonts w:ascii="Calibri" w:hAnsi="Calibri" w:eastAsia="宋体" w:cs="Times New Roman"/>
    </w:rPr>
  </w:style>
  <w:style w:type="paragraph" w:styleId="15">
    <w:name w:val="List Paragraph"/>
    <w:basedOn w:val="1"/>
    <w:qFormat/>
    <w:uiPriority w:val="99"/>
    <w:pPr>
      <w:ind w:firstLine="420" w:firstLineChars="200"/>
    </w:pPr>
  </w:style>
  <w:style w:type="character" w:customStyle="1" w:styleId="16">
    <w:name w:val="批注框文本 Char"/>
    <w:basedOn w:val="9"/>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2942</Words>
  <Characters>2956</Characters>
  <Lines>21</Lines>
  <Paragraphs>6</Paragraphs>
  <TotalTime>24</TotalTime>
  <ScaleCrop>false</ScaleCrop>
  <LinksUpToDate>false</LinksUpToDate>
  <CharactersWithSpaces>2986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2015-08-25T23:06:00Z</cp:lastPrinted>
  <dcterms:created xsi:type="dcterms:W3CDTF">2023-02-10T14:48:00Z</dcterms:created>
  <dcterms:modified xsi:type="dcterms:W3CDTF">2023-02-16T17:12:09Z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